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A58D6" w14:textId="77777777" w:rsidR="001910B9" w:rsidRDefault="001910B9" w:rsidP="00C97756">
      <w:pPr>
        <w:spacing w:before="0" w:after="0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1019B98A" w14:textId="31297FD8" w:rsidR="00C97756" w:rsidRPr="00EE55C9" w:rsidRDefault="00C97756" w:rsidP="00C97756">
      <w:pPr>
        <w:spacing w:before="0" w:after="0"/>
        <w:jc w:val="center"/>
        <w:rPr>
          <w:rFonts w:ascii="Times New Roman" w:hAnsi="Times New Roman"/>
          <w:b/>
          <w:bCs/>
          <w:sz w:val="22"/>
          <w:szCs w:val="22"/>
        </w:rPr>
      </w:pPr>
      <w:r w:rsidRPr="00EE55C9">
        <w:rPr>
          <w:rFonts w:ascii="Times New Roman" w:hAnsi="Times New Roman"/>
          <w:b/>
          <w:bCs/>
          <w:sz w:val="22"/>
          <w:szCs w:val="22"/>
        </w:rPr>
        <w:t>Opis przedmiotu zamówienia</w:t>
      </w:r>
    </w:p>
    <w:p w14:paraId="02EE9630" w14:textId="29545CBD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color w:val="000000" w:themeColor="text1"/>
          <w:sz w:val="22"/>
          <w:szCs w:val="22"/>
        </w:rPr>
      </w:pPr>
      <w:proofErr w:type="gramStart"/>
      <w:r w:rsidRPr="00EE55C9">
        <w:rPr>
          <w:rFonts w:ascii="Times New Roman" w:hAnsi="Times New Roman"/>
          <w:sz w:val="22"/>
          <w:szCs w:val="22"/>
        </w:rPr>
        <w:t>Zapytanie  dotyczy</w:t>
      </w:r>
      <w:proofErr w:type="gramEnd"/>
      <w:r w:rsidRPr="00EE55C9">
        <w:rPr>
          <w:rFonts w:ascii="Times New Roman" w:hAnsi="Times New Roman"/>
          <w:sz w:val="22"/>
          <w:szCs w:val="22"/>
        </w:rPr>
        <w:t xml:space="preserve"> </w:t>
      </w:r>
      <w:r w:rsidRPr="00EE55C9">
        <w:rPr>
          <w:rFonts w:ascii="Times New Roman" w:hAnsi="Times New Roman"/>
          <w:color w:val="000000" w:themeColor="text1"/>
          <w:sz w:val="22"/>
          <w:szCs w:val="22"/>
        </w:rPr>
        <w:t xml:space="preserve">zakupu, dostawy </w:t>
      </w:r>
      <w:r w:rsidRPr="00EE55C9">
        <w:rPr>
          <w:rFonts w:ascii="Times New Roman" w:hAnsi="Times New Roman"/>
          <w:b/>
          <w:bCs/>
          <w:color w:val="000000" w:themeColor="text1"/>
          <w:sz w:val="22"/>
          <w:szCs w:val="22"/>
        </w:rPr>
        <w:t xml:space="preserve">Serwera z biblioteką taśmową – 1 </w:t>
      </w:r>
      <w:proofErr w:type="gramStart"/>
      <w:r w:rsidRPr="00EE55C9">
        <w:rPr>
          <w:rFonts w:ascii="Times New Roman" w:hAnsi="Times New Roman"/>
          <w:b/>
          <w:bCs/>
          <w:color w:val="000000" w:themeColor="text1"/>
          <w:sz w:val="22"/>
          <w:szCs w:val="22"/>
        </w:rPr>
        <w:t>szt</w:t>
      </w:r>
      <w:r w:rsidRPr="00EE55C9">
        <w:rPr>
          <w:rFonts w:ascii="Times New Roman" w:hAnsi="Times New Roman"/>
          <w:color w:val="000000" w:themeColor="text1"/>
          <w:sz w:val="22"/>
          <w:szCs w:val="22"/>
        </w:rPr>
        <w:t>. ,</w:t>
      </w:r>
      <w:proofErr w:type="gramEnd"/>
      <w:r w:rsidRPr="00EE55C9">
        <w:rPr>
          <w:rFonts w:ascii="Times New Roman" w:hAnsi="Times New Roman"/>
          <w:color w:val="000000" w:themeColor="text1"/>
          <w:sz w:val="22"/>
          <w:szCs w:val="22"/>
        </w:rPr>
        <w:t xml:space="preserve"> Sprzęt musi być fabrycznie nowy, </w:t>
      </w:r>
      <w:proofErr w:type="gramStart"/>
      <w:r w:rsidRPr="00EE55C9">
        <w:rPr>
          <w:rFonts w:ascii="Times New Roman" w:hAnsi="Times New Roman"/>
          <w:color w:val="000000" w:themeColor="text1"/>
          <w:sz w:val="22"/>
          <w:szCs w:val="22"/>
        </w:rPr>
        <w:t>wyprodukowanego  nie</w:t>
      </w:r>
      <w:proofErr w:type="gramEnd"/>
      <w:r w:rsidRPr="00EE55C9">
        <w:rPr>
          <w:rFonts w:ascii="Times New Roman" w:hAnsi="Times New Roman"/>
          <w:color w:val="000000" w:themeColor="text1"/>
          <w:sz w:val="22"/>
          <w:szCs w:val="22"/>
        </w:rPr>
        <w:t xml:space="preserve"> wcześniej jak w 2025r.    </w:t>
      </w:r>
    </w:p>
    <w:p w14:paraId="3E6F371D" w14:textId="77777777" w:rsidR="00EE55C9" w:rsidRPr="00EE55C9" w:rsidRDefault="00EE55C9" w:rsidP="00C97756">
      <w:pPr>
        <w:spacing w:before="0" w:after="0"/>
        <w:jc w:val="both"/>
        <w:rPr>
          <w:rFonts w:ascii="Times New Roman" w:hAnsi="Times New Roman"/>
          <w:b/>
          <w:bCs/>
          <w:color w:val="000000" w:themeColor="text1"/>
          <w:sz w:val="22"/>
          <w:szCs w:val="22"/>
        </w:rPr>
      </w:pPr>
    </w:p>
    <w:p w14:paraId="13E1CB4E" w14:textId="458946D5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b/>
          <w:bCs/>
          <w:color w:val="000000" w:themeColor="text1"/>
          <w:sz w:val="22"/>
          <w:szCs w:val="22"/>
        </w:rPr>
      </w:pPr>
      <w:r w:rsidRPr="00EE55C9">
        <w:rPr>
          <w:rFonts w:ascii="Times New Roman" w:hAnsi="Times New Roman"/>
          <w:b/>
          <w:bCs/>
          <w:color w:val="000000" w:themeColor="text1"/>
          <w:sz w:val="22"/>
          <w:szCs w:val="22"/>
        </w:rPr>
        <w:t>Przedmiot zamówienia:</w:t>
      </w:r>
    </w:p>
    <w:p w14:paraId="58411B18" w14:textId="0372DF6E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b/>
          <w:bCs/>
          <w:sz w:val="22"/>
          <w:szCs w:val="22"/>
        </w:rPr>
        <w:t xml:space="preserve">Serwer </w:t>
      </w:r>
      <w:r w:rsidRPr="00EE55C9">
        <w:rPr>
          <w:rFonts w:ascii="Times New Roman" w:hAnsi="Times New Roman"/>
          <w:sz w:val="22"/>
          <w:szCs w:val="22"/>
        </w:rPr>
        <w:t xml:space="preserve">– 1 szt.  </w:t>
      </w:r>
      <w:r w:rsidRPr="00EE55C9">
        <w:rPr>
          <w:rFonts w:ascii="Times New Roman" w:hAnsi="Times New Roman"/>
          <w:b/>
          <w:bCs/>
          <w:sz w:val="22"/>
          <w:szCs w:val="22"/>
        </w:rPr>
        <w:t>Minimalne parametry:</w:t>
      </w:r>
    </w:p>
    <w:p w14:paraId="54B9448E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1. </w:t>
      </w:r>
      <w:r w:rsidRPr="001910B9">
        <w:rPr>
          <w:rFonts w:ascii="Times New Roman" w:hAnsi="Times New Roman"/>
          <w:b/>
          <w:bCs/>
          <w:sz w:val="22"/>
          <w:szCs w:val="22"/>
        </w:rPr>
        <w:t>Obudowa</w:t>
      </w:r>
      <w:r w:rsidRPr="00EE55C9">
        <w:rPr>
          <w:rFonts w:ascii="Times New Roman" w:hAnsi="Times New Roman"/>
          <w:sz w:val="22"/>
          <w:szCs w:val="22"/>
        </w:rPr>
        <w:t xml:space="preserve"> typu RACK o wysokości maksymalnie 2U z możliwością instalacji min. 16 dysków 2.5" Hot-Plug SATA/SAS, z kompletem szyn umożliwiających montaż w szafie RACK.</w:t>
      </w:r>
    </w:p>
    <w:p w14:paraId="6287D772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2. </w:t>
      </w:r>
      <w:r w:rsidRPr="001910B9">
        <w:rPr>
          <w:rFonts w:ascii="Times New Roman" w:hAnsi="Times New Roman"/>
          <w:b/>
          <w:bCs/>
          <w:sz w:val="22"/>
          <w:szCs w:val="22"/>
        </w:rPr>
        <w:t>Płyta główna</w:t>
      </w:r>
      <w:r w:rsidRPr="00EE55C9">
        <w:rPr>
          <w:rFonts w:ascii="Times New Roman" w:hAnsi="Times New Roman"/>
          <w:sz w:val="22"/>
          <w:szCs w:val="22"/>
        </w:rPr>
        <w:t xml:space="preserve"> z możliwością zainstalowania dwóch procesorów, wyprodukowana i zaprojektowana przez producenta serwer, możliwość rozbudowy o panel diagnostyczny z wyświetlaczem LCD umożliwiającym detekcję usterek umożliwiający wyświetlenie m.in. następujących informacji: aktywne ostrzeżenia, status serwera, typ oraz model serwera, numer seryjny, temperaturę procesora, poziom napięcia wejściowego, poziom zużycia energii, aktywne sesje połączeniowe do interfejsu zarządzania; </w:t>
      </w:r>
    </w:p>
    <w:p w14:paraId="106124C8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3. </w:t>
      </w:r>
      <w:r w:rsidRPr="001910B9">
        <w:rPr>
          <w:rFonts w:ascii="Times New Roman" w:hAnsi="Times New Roman"/>
          <w:b/>
          <w:bCs/>
          <w:sz w:val="22"/>
          <w:szCs w:val="22"/>
        </w:rPr>
        <w:t>Zainstalowany min. jeden procesor</w:t>
      </w:r>
      <w:r w:rsidRPr="00EE55C9">
        <w:rPr>
          <w:rFonts w:ascii="Times New Roman" w:hAnsi="Times New Roman"/>
          <w:sz w:val="22"/>
          <w:szCs w:val="22"/>
        </w:rPr>
        <w:t xml:space="preserve"> x86_64 dedykowany do pracy z oferowanym serwerem, osiągający w teście SPEC CPU2017 </w:t>
      </w:r>
      <w:proofErr w:type="spellStart"/>
      <w:r w:rsidRPr="00EE55C9">
        <w:rPr>
          <w:rFonts w:ascii="Times New Roman" w:hAnsi="Times New Roman"/>
          <w:sz w:val="22"/>
          <w:szCs w:val="22"/>
        </w:rPr>
        <w:t>Floating</w:t>
      </w:r>
      <w:proofErr w:type="spellEnd"/>
      <w:r w:rsidRPr="00EE55C9">
        <w:rPr>
          <w:rFonts w:ascii="Times New Roman" w:hAnsi="Times New Roman"/>
          <w:sz w:val="22"/>
          <w:szCs w:val="22"/>
        </w:rPr>
        <w:t xml:space="preserve"> Point wynik SPECrate2017_fp_base 385 pkt (wynik osiągnięty dla zainstalowanych dwóch procesorów). Wynik musi być opublikowany na stronie http://spec.org dla oferowanego serwera. </w:t>
      </w:r>
    </w:p>
    <w:p w14:paraId="79CCC380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>4</w:t>
      </w:r>
      <w:r w:rsidRPr="001910B9">
        <w:rPr>
          <w:rFonts w:ascii="Times New Roman" w:hAnsi="Times New Roman"/>
          <w:b/>
          <w:bCs/>
          <w:sz w:val="22"/>
          <w:szCs w:val="22"/>
        </w:rPr>
        <w:t>. Pamięć RAM</w:t>
      </w:r>
      <w:r w:rsidRPr="00EE55C9">
        <w:rPr>
          <w:rFonts w:ascii="Times New Roman" w:hAnsi="Times New Roman"/>
          <w:sz w:val="22"/>
          <w:szCs w:val="22"/>
        </w:rPr>
        <w:t xml:space="preserve">: zainstalowane min. 64 GB w najnowszej technologii oferowanej przez producenta, płyta główna musi posiadać co najmniej 32 </w:t>
      </w:r>
      <w:proofErr w:type="spellStart"/>
      <w:r w:rsidRPr="00EE55C9">
        <w:rPr>
          <w:rFonts w:ascii="Times New Roman" w:hAnsi="Times New Roman"/>
          <w:sz w:val="22"/>
          <w:szCs w:val="22"/>
        </w:rPr>
        <w:t>sloty</w:t>
      </w:r>
      <w:proofErr w:type="spellEnd"/>
      <w:r w:rsidRPr="00EE55C9">
        <w:rPr>
          <w:rFonts w:ascii="Times New Roman" w:hAnsi="Times New Roman"/>
          <w:sz w:val="22"/>
          <w:szCs w:val="22"/>
        </w:rPr>
        <w:t xml:space="preserve"> na pamięć w dostarczanej konfiguracji oraz obsługiwać min. 1 TB Pamięci.</w:t>
      </w:r>
    </w:p>
    <w:p w14:paraId="3F750434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5. </w:t>
      </w:r>
      <w:r w:rsidRPr="001910B9">
        <w:rPr>
          <w:rFonts w:ascii="Times New Roman" w:hAnsi="Times New Roman"/>
          <w:b/>
          <w:bCs/>
          <w:sz w:val="22"/>
          <w:szCs w:val="22"/>
        </w:rPr>
        <w:t>Zabezpieczenia pamięci RAM:</w:t>
      </w:r>
      <w:r w:rsidRPr="00EE55C9">
        <w:rPr>
          <w:rFonts w:ascii="Times New Roman" w:hAnsi="Times New Roman"/>
          <w:sz w:val="22"/>
          <w:szCs w:val="22"/>
        </w:rPr>
        <w:t xml:space="preserve"> Memory </w:t>
      </w:r>
      <w:proofErr w:type="spellStart"/>
      <w:r w:rsidRPr="00EE55C9">
        <w:rPr>
          <w:rFonts w:ascii="Times New Roman" w:hAnsi="Times New Roman"/>
          <w:sz w:val="22"/>
          <w:szCs w:val="22"/>
        </w:rPr>
        <w:t>Rank</w:t>
      </w:r>
      <w:proofErr w:type="spellEnd"/>
      <w:r w:rsidRPr="00EE55C9">
        <w:rPr>
          <w:rFonts w:ascii="Times New Roman" w:hAnsi="Times New Roman"/>
          <w:sz w:val="22"/>
          <w:szCs w:val="22"/>
        </w:rPr>
        <w:t xml:space="preserve"> Sparing i/lub Memory Mirror i/lub Single Device Data </w:t>
      </w:r>
      <w:proofErr w:type="spellStart"/>
      <w:r w:rsidRPr="00EE55C9">
        <w:rPr>
          <w:rFonts w:ascii="Times New Roman" w:hAnsi="Times New Roman"/>
          <w:sz w:val="22"/>
          <w:szCs w:val="22"/>
        </w:rPr>
        <w:t>Correction</w:t>
      </w:r>
      <w:proofErr w:type="spellEnd"/>
      <w:r w:rsidRPr="00EE55C9">
        <w:rPr>
          <w:rFonts w:ascii="Times New Roman" w:hAnsi="Times New Roman"/>
          <w:sz w:val="22"/>
          <w:szCs w:val="22"/>
        </w:rPr>
        <w:t xml:space="preserve"> i/lub Memory </w:t>
      </w:r>
      <w:proofErr w:type="spellStart"/>
      <w:r w:rsidRPr="00EE55C9">
        <w:rPr>
          <w:rFonts w:ascii="Times New Roman" w:hAnsi="Times New Roman"/>
          <w:sz w:val="22"/>
          <w:szCs w:val="22"/>
        </w:rPr>
        <w:t>Lockstep</w:t>
      </w:r>
      <w:proofErr w:type="spellEnd"/>
      <w:r w:rsidRPr="00EE55C9">
        <w:rPr>
          <w:rFonts w:ascii="Times New Roman" w:hAnsi="Times New Roman"/>
          <w:sz w:val="22"/>
          <w:szCs w:val="22"/>
        </w:rPr>
        <w:t xml:space="preserve"> i/lub </w:t>
      </w:r>
      <w:proofErr w:type="spellStart"/>
      <w:r w:rsidRPr="00EE55C9">
        <w:rPr>
          <w:rFonts w:ascii="Times New Roman" w:hAnsi="Times New Roman"/>
          <w:sz w:val="22"/>
          <w:szCs w:val="22"/>
        </w:rPr>
        <w:t>Chipkill</w:t>
      </w:r>
      <w:proofErr w:type="spellEnd"/>
      <w:r w:rsidRPr="00EE55C9">
        <w:rPr>
          <w:rFonts w:ascii="Times New Roman" w:hAnsi="Times New Roman"/>
          <w:sz w:val="22"/>
          <w:szCs w:val="22"/>
        </w:rPr>
        <w:t xml:space="preserve"> i/lub Extended ECC i/lub Advanced Memory Device </w:t>
      </w:r>
      <w:proofErr w:type="spellStart"/>
      <w:r w:rsidRPr="00EE55C9">
        <w:rPr>
          <w:rFonts w:ascii="Times New Roman" w:hAnsi="Times New Roman"/>
          <w:sz w:val="22"/>
          <w:szCs w:val="22"/>
        </w:rPr>
        <w:t>Correction</w:t>
      </w:r>
      <w:proofErr w:type="spellEnd"/>
      <w:r w:rsidRPr="00EE55C9">
        <w:rPr>
          <w:rFonts w:ascii="Times New Roman" w:hAnsi="Times New Roman"/>
          <w:sz w:val="22"/>
          <w:szCs w:val="22"/>
        </w:rPr>
        <w:t xml:space="preserve"> i/lub AMD Memory </w:t>
      </w:r>
      <w:proofErr w:type="spellStart"/>
      <w:r w:rsidRPr="00EE55C9">
        <w:rPr>
          <w:rFonts w:ascii="Times New Roman" w:hAnsi="Times New Roman"/>
          <w:sz w:val="22"/>
          <w:szCs w:val="22"/>
        </w:rPr>
        <w:t>Guard</w:t>
      </w:r>
      <w:proofErr w:type="spellEnd"/>
      <w:r w:rsidRPr="00EE55C9">
        <w:rPr>
          <w:rFonts w:ascii="Times New Roman" w:hAnsi="Times New Roman"/>
          <w:sz w:val="22"/>
          <w:szCs w:val="22"/>
        </w:rPr>
        <w:t xml:space="preserve"> i/lub ECC i/lub </w:t>
      </w:r>
      <w:proofErr w:type="spellStart"/>
      <w:r w:rsidRPr="00EE55C9">
        <w:rPr>
          <w:rFonts w:ascii="Times New Roman" w:hAnsi="Times New Roman"/>
          <w:sz w:val="22"/>
          <w:szCs w:val="22"/>
        </w:rPr>
        <w:t>Demand</w:t>
      </w:r>
      <w:proofErr w:type="spellEnd"/>
      <w:r w:rsidRPr="00EE55C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E55C9">
        <w:rPr>
          <w:rFonts w:ascii="Times New Roman" w:hAnsi="Times New Roman"/>
          <w:sz w:val="22"/>
          <w:szCs w:val="22"/>
        </w:rPr>
        <w:t>Scrubbing</w:t>
      </w:r>
      <w:proofErr w:type="spellEnd"/>
      <w:r w:rsidRPr="00EE55C9">
        <w:rPr>
          <w:rFonts w:ascii="Times New Roman" w:hAnsi="Times New Roman"/>
          <w:sz w:val="22"/>
          <w:szCs w:val="22"/>
        </w:rPr>
        <w:t xml:space="preserve"> i/lub Patrol </w:t>
      </w:r>
      <w:proofErr w:type="spellStart"/>
      <w:r w:rsidRPr="00EE55C9">
        <w:rPr>
          <w:rFonts w:ascii="Times New Roman" w:hAnsi="Times New Roman"/>
          <w:sz w:val="22"/>
          <w:szCs w:val="22"/>
        </w:rPr>
        <w:t>Scrubbing</w:t>
      </w:r>
      <w:proofErr w:type="spellEnd"/>
      <w:r w:rsidRPr="00EE55C9">
        <w:rPr>
          <w:rFonts w:ascii="Times New Roman" w:hAnsi="Times New Roman"/>
          <w:sz w:val="22"/>
          <w:szCs w:val="22"/>
        </w:rPr>
        <w:t xml:space="preserve"> i/lub Permanent </w:t>
      </w:r>
      <w:proofErr w:type="spellStart"/>
      <w:r w:rsidRPr="00EE55C9">
        <w:rPr>
          <w:rFonts w:ascii="Times New Roman" w:hAnsi="Times New Roman"/>
          <w:sz w:val="22"/>
          <w:szCs w:val="22"/>
        </w:rPr>
        <w:t>Fault</w:t>
      </w:r>
      <w:proofErr w:type="spellEnd"/>
      <w:r w:rsidRPr="00EE55C9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E55C9">
        <w:rPr>
          <w:rFonts w:ascii="Times New Roman" w:hAnsi="Times New Roman"/>
          <w:sz w:val="22"/>
          <w:szCs w:val="22"/>
        </w:rPr>
        <w:t>Detection</w:t>
      </w:r>
      <w:proofErr w:type="spellEnd"/>
      <w:r w:rsidRPr="00EE55C9">
        <w:rPr>
          <w:rFonts w:ascii="Times New Roman" w:hAnsi="Times New Roman"/>
          <w:sz w:val="22"/>
          <w:szCs w:val="22"/>
        </w:rPr>
        <w:t xml:space="preserve"> (PFD). </w:t>
      </w:r>
    </w:p>
    <w:p w14:paraId="072F1EBA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6. </w:t>
      </w:r>
      <w:r w:rsidRPr="001910B9">
        <w:rPr>
          <w:rFonts w:ascii="Times New Roman" w:hAnsi="Times New Roman"/>
          <w:b/>
          <w:bCs/>
          <w:sz w:val="22"/>
          <w:szCs w:val="22"/>
        </w:rPr>
        <w:t xml:space="preserve">Zintegrowana karta graficzna ze złączem VGA. </w:t>
      </w:r>
    </w:p>
    <w:p w14:paraId="35BA8543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7. </w:t>
      </w:r>
      <w:r w:rsidRPr="001910B9">
        <w:rPr>
          <w:rFonts w:ascii="Times New Roman" w:hAnsi="Times New Roman"/>
          <w:b/>
          <w:bCs/>
          <w:sz w:val="22"/>
          <w:szCs w:val="22"/>
        </w:rPr>
        <w:t>Interfejsy sieciowe</w:t>
      </w:r>
      <w:r w:rsidRPr="00EE55C9">
        <w:rPr>
          <w:rFonts w:ascii="Times New Roman" w:hAnsi="Times New Roman"/>
          <w:sz w:val="22"/>
          <w:szCs w:val="22"/>
        </w:rPr>
        <w:t xml:space="preserve">: Wbudowane co najmniej 4 interfejsy sieciowe 1Gb Ethernet w standardzie </w:t>
      </w:r>
      <w:proofErr w:type="spellStart"/>
      <w:r w:rsidRPr="00EE55C9">
        <w:rPr>
          <w:rFonts w:ascii="Times New Roman" w:hAnsi="Times New Roman"/>
          <w:sz w:val="22"/>
          <w:szCs w:val="22"/>
        </w:rPr>
        <w:t>BaseT</w:t>
      </w:r>
      <w:proofErr w:type="spellEnd"/>
      <w:r w:rsidRPr="00EE55C9">
        <w:rPr>
          <w:rFonts w:ascii="Times New Roman" w:hAnsi="Times New Roman"/>
          <w:sz w:val="22"/>
          <w:szCs w:val="22"/>
        </w:rPr>
        <w:t xml:space="preserve">, co najmniej 2 interfejsy w 10GbE w standardzie SFP+ z dedykowanymi wkładkami do każdego portu oraz co najmniej 2 </w:t>
      </w:r>
      <w:proofErr w:type="gramStart"/>
      <w:r w:rsidRPr="00EE55C9">
        <w:rPr>
          <w:rFonts w:ascii="Times New Roman" w:hAnsi="Times New Roman"/>
          <w:sz w:val="22"/>
          <w:szCs w:val="22"/>
        </w:rPr>
        <w:t>interfejsy  10</w:t>
      </w:r>
      <w:proofErr w:type="gramEnd"/>
      <w:r w:rsidRPr="00EE55C9">
        <w:rPr>
          <w:rFonts w:ascii="Times New Roman" w:hAnsi="Times New Roman"/>
          <w:sz w:val="22"/>
          <w:szCs w:val="22"/>
        </w:rPr>
        <w:t xml:space="preserve">GbE w standardzie Base-T /s na port w celu podłączenia serwera z macierzą dyskową SAN. </w:t>
      </w:r>
    </w:p>
    <w:p w14:paraId="4F971DF3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8. </w:t>
      </w:r>
      <w:r w:rsidRPr="001910B9">
        <w:rPr>
          <w:rFonts w:ascii="Times New Roman" w:hAnsi="Times New Roman"/>
          <w:b/>
          <w:bCs/>
          <w:sz w:val="22"/>
          <w:szCs w:val="22"/>
        </w:rPr>
        <w:t>Interfejsy SAS</w:t>
      </w:r>
      <w:r w:rsidRPr="00EE55C9">
        <w:rPr>
          <w:rFonts w:ascii="Times New Roman" w:hAnsi="Times New Roman"/>
          <w:sz w:val="22"/>
          <w:szCs w:val="22"/>
        </w:rPr>
        <w:t xml:space="preserve">: dwuportowa karta SAS </w:t>
      </w:r>
      <w:proofErr w:type="spellStart"/>
      <w:r w:rsidRPr="00EE55C9">
        <w:rPr>
          <w:rFonts w:ascii="Times New Roman" w:hAnsi="Times New Roman"/>
          <w:sz w:val="22"/>
          <w:szCs w:val="22"/>
        </w:rPr>
        <w:t>PCIe</w:t>
      </w:r>
      <w:proofErr w:type="spellEnd"/>
      <w:r w:rsidRPr="00EE55C9">
        <w:rPr>
          <w:rFonts w:ascii="Times New Roman" w:hAnsi="Times New Roman"/>
          <w:sz w:val="22"/>
          <w:szCs w:val="22"/>
        </w:rPr>
        <w:t xml:space="preserve"> Gen4 12</w:t>
      </w:r>
      <w:proofErr w:type="gramStart"/>
      <w:r w:rsidRPr="00EE55C9">
        <w:rPr>
          <w:rFonts w:ascii="Times New Roman" w:hAnsi="Times New Roman"/>
          <w:sz w:val="22"/>
          <w:szCs w:val="22"/>
        </w:rPr>
        <w:t>Gb  wyposażona</w:t>
      </w:r>
      <w:proofErr w:type="gramEnd"/>
      <w:r w:rsidRPr="00EE55C9">
        <w:rPr>
          <w:rFonts w:ascii="Times New Roman" w:hAnsi="Times New Roman"/>
          <w:sz w:val="22"/>
          <w:szCs w:val="22"/>
        </w:rPr>
        <w:t xml:space="preserve"> w kabel SAS.</w:t>
      </w:r>
    </w:p>
    <w:p w14:paraId="7364DF79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9. </w:t>
      </w:r>
      <w:r w:rsidRPr="001910B9">
        <w:rPr>
          <w:rFonts w:ascii="Times New Roman" w:hAnsi="Times New Roman"/>
          <w:b/>
          <w:bCs/>
          <w:sz w:val="22"/>
          <w:szCs w:val="22"/>
        </w:rPr>
        <w:t>Dyski twarde</w:t>
      </w:r>
      <w:r w:rsidRPr="00EE55C9">
        <w:rPr>
          <w:rFonts w:ascii="Times New Roman" w:hAnsi="Times New Roman"/>
          <w:sz w:val="22"/>
          <w:szCs w:val="22"/>
        </w:rPr>
        <w:t xml:space="preserve">: Możliwość instalacji dysków SATA, SAS, SSD. Zainstalowane min. 3 szt. dysków SSD SATA 1,92 </w:t>
      </w:r>
      <w:proofErr w:type="gramStart"/>
      <w:r w:rsidRPr="00EE55C9">
        <w:rPr>
          <w:rFonts w:ascii="Times New Roman" w:hAnsi="Times New Roman"/>
          <w:sz w:val="22"/>
          <w:szCs w:val="22"/>
        </w:rPr>
        <w:t>TB .</w:t>
      </w:r>
      <w:proofErr w:type="gramEnd"/>
    </w:p>
    <w:p w14:paraId="7FDE09E2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9. </w:t>
      </w:r>
      <w:r w:rsidRPr="001910B9">
        <w:rPr>
          <w:rFonts w:ascii="Times New Roman" w:hAnsi="Times New Roman"/>
          <w:b/>
          <w:bCs/>
          <w:sz w:val="22"/>
          <w:szCs w:val="22"/>
        </w:rPr>
        <w:t>Wbudowane porty:</w:t>
      </w:r>
      <w:r w:rsidRPr="00EE55C9">
        <w:rPr>
          <w:rFonts w:ascii="Times New Roman" w:hAnsi="Times New Roman"/>
          <w:sz w:val="22"/>
          <w:szCs w:val="22"/>
        </w:rPr>
        <w:t xml:space="preserve"> min. Co najmniej 2 port </w:t>
      </w:r>
      <w:proofErr w:type="gramStart"/>
      <w:r w:rsidRPr="00EE55C9">
        <w:rPr>
          <w:rFonts w:ascii="Times New Roman" w:hAnsi="Times New Roman"/>
          <w:sz w:val="22"/>
          <w:szCs w:val="22"/>
        </w:rPr>
        <w:t>USB  z</w:t>
      </w:r>
      <w:proofErr w:type="gramEnd"/>
      <w:r w:rsidRPr="00EE55C9">
        <w:rPr>
          <w:rFonts w:ascii="Times New Roman" w:hAnsi="Times New Roman"/>
          <w:sz w:val="22"/>
          <w:szCs w:val="22"/>
        </w:rPr>
        <w:t xml:space="preserve"> tyłu obudowy.</w:t>
      </w:r>
    </w:p>
    <w:p w14:paraId="042E16B8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10. </w:t>
      </w:r>
      <w:r w:rsidRPr="001910B9">
        <w:rPr>
          <w:rFonts w:ascii="Times New Roman" w:hAnsi="Times New Roman"/>
          <w:b/>
          <w:bCs/>
          <w:sz w:val="22"/>
          <w:szCs w:val="22"/>
        </w:rPr>
        <w:t>Wentylato</w:t>
      </w:r>
      <w:r w:rsidRPr="00EE55C9">
        <w:rPr>
          <w:rFonts w:ascii="Times New Roman" w:hAnsi="Times New Roman"/>
          <w:sz w:val="22"/>
          <w:szCs w:val="22"/>
        </w:rPr>
        <w:t xml:space="preserve">ry: typu Hot Plug. </w:t>
      </w:r>
    </w:p>
    <w:p w14:paraId="772A4ECE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lastRenderedPageBreak/>
        <w:t xml:space="preserve">11. </w:t>
      </w:r>
      <w:r w:rsidRPr="001910B9">
        <w:rPr>
          <w:rFonts w:ascii="Times New Roman" w:hAnsi="Times New Roman"/>
          <w:b/>
          <w:bCs/>
          <w:sz w:val="22"/>
          <w:szCs w:val="22"/>
        </w:rPr>
        <w:t>Zasilacze</w:t>
      </w:r>
      <w:r w:rsidRPr="00EE55C9">
        <w:rPr>
          <w:rFonts w:ascii="Times New Roman" w:hAnsi="Times New Roman"/>
          <w:sz w:val="22"/>
          <w:szCs w:val="22"/>
        </w:rPr>
        <w:t xml:space="preserve">: Redundantne typu Hot Plug o mocy nieprzekraczającej 1350 W każdy. </w:t>
      </w:r>
    </w:p>
    <w:p w14:paraId="2D1E3D5B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12. </w:t>
      </w:r>
      <w:r w:rsidRPr="001910B9">
        <w:rPr>
          <w:rFonts w:ascii="Times New Roman" w:hAnsi="Times New Roman"/>
          <w:b/>
          <w:bCs/>
          <w:sz w:val="22"/>
          <w:szCs w:val="22"/>
        </w:rPr>
        <w:t>Karta/moduł zarządzania</w:t>
      </w:r>
      <w:r w:rsidRPr="00EE55C9">
        <w:rPr>
          <w:rFonts w:ascii="Times New Roman" w:hAnsi="Times New Roman"/>
          <w:sz w:val="22"/>
          <w:szCs w:val="22"/>
        </w:rPr>
        <w:t xml:space="preserve">: Niezależny od zainstalowanego na serwerze systemu operacyjnego posiadający dedykowane złącze umożliwiający zdalne zarządzanie: </w:t>
      </w:r>
    </w:p>
    <w:p w14:paraId="7C24A419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1) zdalny dostęp do graficznego interfejsu Web karty zarządzającej, </w:t>
      </w:r>
    </w:p>
    <w:p w14:paraId="24B83D55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2) zdalne monitorowanie i informowanie o statusie serwera, </w:t>
      </w:r>
    </w:p>
    <w:p w14:paraId="4B15AF3C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3) szyfrowane połączenie oraz autentykacje i autoryzację użytkownika, </w:t>
      </w:r>
    </w:p>
    <w:p w14:paraId="19F063F8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4) możliwość podmontowania zdalnych wirtualnych napędów, </w:t>
      </w:r>
    </w:p>
    <w:p w14:paraId="3637EC66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5) wirtualną konsolę z dostępem do myszy, klawiatury, </w:t>
      </w:r>
    </w:p>
    <w:p w14:paraId="1A74CD97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7) wsparcie dla SNMP; IPMI2.0, VLAN </w:t>
      </w:r>
      <w:proofErr w:type="spellStart"/>
      <w:r w:rsidRPr="00EE55C9">
        <w:rPr>
          <w:rFonts w:ascii="Times New Roman" w:hAnsi="Times New Roman"/>
          <w:sz w:val="22"/>
          <w:szCs w:val="22"/>
        </w:rPr>
        <w:t>tagging</w:t>
      </w:r>
      <w:proofErr w:type="spellEnd"/>
      <w:r w:rsidRPr="00EE55C9">
        <w:rPr>
          <w:rFonts w:ascii="Times New Roman" w:hAnsi="Times New Roman"/>
          <w:sz w:val="22"/>
          <w:szCs w:val="22"/>
        </w:rPr>
        <w:t xml:space="preserve">, SSH, </w:t>
      </w:r>
    </w:p>
    <w:p w14:paraId="0DFFC6BE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8) integracja z Active Directory, </w:t>
      </w:r>
    </w:p>
    <w:p w14:paraId="287812EF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9) wsparcie dla </w:t>
      </w:r>
      <w:proofErr w:type="spellStart"/>
      <w:r w:rsidRPr="00EE55C9">
        <w:rPr>
          <w:rFonts w:ascii="Times New Roman" w:hAnsi="Times New Roman"/>
          <w:sz w:val="22"/>
          <w:szCs w:val="22"/>
        </w:rPr>
        <w:t>dynamic</w:t>
      </w:r>
      <w:proofErr w:type="spellEnd"/>
      <w:r w:rsidRPr="00EE55C9">
        <w:rPr>
          <w:rFonts w:ascii="Times New Roman" w:hAnsi="Times New Roman"/>
          <w:sz w:val="22"/>
          <w:szCs w:val="22"/>
        </w:rPr>
        <w:t xml:space="preserve"> DNS. </w:t>
      </w:r>
    </w:p>
    <w:p w14:paraId="217B1F3C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13. </w:t>
      </w:r>
      <w:r w:rsidRPr="001910B9">
        <w:rPr>
          <w:rFonts w:ascii="Times New Roman" w:hAnsi="Times New Roman"/>
          <w:b/>
          <w:bCs/>
          <w:sz w:val="22"/>
          <w:szCs w:val="22"/>
        </w:rPr>
        <w:t>System bezpieczeństwa</w:t>
      </w:r>
      <w:r w:rsidRPr="00EE55C9">
        <w:rPr>
          <w:rFonts w:ascii="Times New Roman" w:hAnsi="Times New Roman"/>
          <w:sz w:val="22"/>
          <w:szCs w:val="22"/>
        </w:rPr>
        <w:t xml:space="preserve"> serwera realizowany poprzez następujące zabezpieczenia: </w:t>
      </w:r>
    </w:p>
    <w:p w14:paraId="0B6A146C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1) wbudowane diody informacyjne lub wyświetlacz informujące o stanie serwera - w szczególności sygnalizacje awarię przy każdej kości pamięci RAM, każdej zatoce dyskowej, każdym zasilaczu. </w:t>
      </w:r>
    </w:p>
    <w:p w14:paraId="7F9E1B9E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2) blokada zamykana na klucz służąca do ochrony nieautoryzowanego dostępu do dysków twardych; </w:t>
      </w:r>
    </w:p>
    <w:p w14:paraId="6F9678ED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3) moduł TPM 2.0. </w:t>
      </w:r>
    </w:p>
    <w:p w14:paraId="7AAA181A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>14</w:t>
      </w:r>
      <w:r w:rsidRPr="001910B9">
        <w:rPr>
          <w:rFonts w:ascii="Times New Roman" w:hAnsi="Times New Roman"/>
          <w:sz w:val="22"/>
          <w:szCs w:val="22"/>
        </w:rPr>
        <w:t>. Wykonawca</w:t>
      </w:r>
      <w:r w:rsidRPr="00EE55C9">
        <w:rPr>
          <w:rFonts w:ascii="Times New Roman" w:hAnsi="Times New Roman"/>
          <w:sz w:val="22"/>
          <w:szCs w:val="22"/>
        </w:rPr>
        <w:t xml:space="preserve"> jest zobowiązany do dostawy wraz z serwerem systemu operacyjnego umożliwiającego zarządzenie serwerem klasy Microsoft Windows Serwer Standard 2025. Oferowany system musi mieć możliwość zainstalowania co najmniej 1 wersji wstecz (tj. Windows Server 2022). </w:t>
      </w:r>
    </w:p>
    <w:p w14:paraId="3B585466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15. Oferowany serwer musi znajdować się na liście Windows Server </w:t>
      </w:r>
      <w:proofErr w:type="spellStart"/>
      <w:r w:rsidRPr="00EE55C9">
        <w:rPr>
          <w:rFonts w:ascii="Times New Roman" w:hAnsi="Times New Roman"/>
          <w:sz w:val="22"/>
          <w:szCs w:val="22"/>
        </w:rPr>
        <w:t>Catalog</w:t>
      </w:r>
      <w:proofErr w:type="spellEnd"/>
      <w:r w:rsidRPr="00EE55C9">
        <w:rPr>
          <w:rFonts w:ascii="Times New Roman" w:hAnsi="Times New Roman"/>
          <w:sz w:val="22"/>
          <w:szCs w:val="22"/>
        </w:rPr>
        <w:t xml:space="preserve"> i posiadać status „</w:t>
      </w:r>
      <w:proofErr w:type="spellStart"/>
      <w:r w:rsidRPr="00EE55C9">
        <w:rPr>
          <w:rFonts w:ascii="Times New Roman" w:hAnsi="Times New Roman"/>
          <w:sz w:val="22"/>
          <w:szCs w:val="22"/>
        </w:rPr>
        <w:t>Certified</w:t>
      </w:r>
      <w:proofErr w:type="spellEnd"/>
      <w:r w:rsidRPr="00EE55C9">
        <w:rPr>
          <w:rFonts w:ascii="Times New Roman" w:hAnsi="Times New Roman"/>
          <w:sz w:val="22"/>
          <w:szCs w:val="22"/>
        </w:rPr>
        <w:t xml:space="preserve"> for Windows" dla systemów Microsoft Windows Server 2022, Microsoft Windows Server 2025. </w:t>
      </w:r>
    </w:p>
    <w:p w14:paraId="46AAAF83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16. Jakość produktu i sposobu jego wykonania: Certyfikat ISO 9001 lub inny równoważny dokument poświadczający, że producent serwera opracował, wdrożył i certyfikował system zarządzania jakością; Certyfikat ISO 50001 lub ISO 14001 lub inny równoważny dokument poświadczający, że producent serwera posiada system zarządzania energią, zmniejszający zużycie energii, wpływy na środowisko i zwiększający rentowność; Deklaracja zgodności CE lub inny równoważny dokument poświadczający, ze oferowany serwer spełnia wszystkie zasadnicze wymagania zawarte w poszczególnych dyrektywach nowego podejścia przewidujących oznakowanie CE; Potwierdzenie spełnienia kryteriów środowiskowych, w tym zgodności z dyrektywą </w:t>
      </w:r>
      <w:proofErr w:type="spellStart"/>
      <w:r w:rsidRPr="00EE55C9">
        <w:rPr>
          <w:rFonts w:ascii="Times New Roman" w:hAnsi="Times New Roman"/>
          <w:sz w:val="22"/>
          <w:szCs w:val="22"/>
        </w:rPr>
        <w:t>RoHS</w:t>
      </w:r>
      <w:proofErr w:type="spellEnd"/>
      <w:r w:rsidRPr="00EE55C9">
        <w:rPr>
          <w:rFonts w:ascii="Times New Roman" w:hAnsi="Times New Roman"/>
          <w:sz w:val="22"/>
          <w:szCs w:val="22"/>
        </w:rPr>
        <w:t xml:space="preserve"> Unii Europejskiej o eliminacji substancji niebezpiecznych w postaci oświadczenia producenta serwera lub innego dokumentu potwierdzającego spełnienie kryteriów środowiskowych w tym zgodności z dyrektywą </w:t>
      </w:r>
      <w:proofErr w:type="spellStart"/>
      <w:r w:rsidRPr="00EE55C9">
        <w:rPr>
          <w:rFonts w:ascii="Times New Roman" w:hAnsi="Times New Roman"/>
          <w:sz w:val="22"/>
          <w:szCs w:val="22"/>
        </w:rPr>
        <w:t>RoHS</w:t>
      </w:r>
      <w:proofErr w:type="spellEnd"/>
      <w:r w:rsidRPr="00EE55C9">
        <w:rPr>
          <w:rFonts w:ascii="Times New Roman" w:hAnsi="Times New Roman"/>
          <w:sz w:val="22"/>
          <w:szCs w:val="22"/>
        </w:rPr>
        <w:t xml:space="preserve"> Unii Europejskiej o eliminacji substancji niebezpiecznych. </w:t>
      </w:r>
    </w:p>
    <w:p w14:paraId="1D1C01FE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  <w:r w:rsidRPr="00EE55C9">
        <w:rPr>
          <w:rFonts w:ascii="Times New Roman" w:hAnsi="Times New Roman"/>
          <w:sz w:val="22"/>
          <w:szCs w:val="22"/>
        </w:rPr>
        <w:t xml:space="preserve">17. Gwarancja: min. 36 miesięcy gwarancji producenta obejmująca wszystkie komponenty serwera wchodzące w skład oferowanej konfiguracji realizowanej w miejscu instalacji sprzętu z czasem rozpoczęcia naprawy do następnego dnia roboczego od przyjęcia zgłoszenia zgodnie z warunkami gwarancji producenta dla tego typu i rodzaju gwarancji, w przypadku awarii dysków Zamawiający wymaga, aby dyski pozostały u </w:t>
      </w:r>
      <w:r w:rsidRPr="00EE55C9">
        <w:rPr>
          <w:rFonts w:ascii="Times New Roman" w:hAnsi="Times New Roman"/>
          <w:sz w:val="22"/>
          <w:szCs w:val="22"/>
        </w:rPr>
        <w:lastRenderedPageBreak/>
        <w:t xml:space="preserve">Zamawiającego. Możliwość zgłaszania awarii poprzez ogólnopolską linię telefoniczną producenta lub dedykowany portal techniczny producenta. W czasie obowiązywania gwarancji na sprzęt, możliwość weryfikacji - na podstawie numeru seryjnego urządzenia - pierwotnej konfiguracji sprzętowej serwera, w tym model i typ dysków twardych, </w:t>
      </w:r>
    </w:p>
    <w:p w14:paraId="5685391A" w14:textId="77777777" w:rsidR="00C97756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</w:p>
    <w:p w14:paraId="73CCEA82" w14:textId="77777777" w:rsidR="001910B9" w:rsidRPr="00EE55C9" w:rsidRDefault="001910B9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</w:p>
    <w:p w14:paraId="4FEC6D64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b/>
          <w:bCs/>
          <w:sz w:val="22"/>
          <w:szCs w:val="22"/>
          <w:u w:val="single"/>
        </w:rPr>
      </w:pPr>
      <w:r w:rsidRPr="00EE55C9">
        <w:rPr>
          <w:rFonts w:ascii="Times New Roman" w:hAnsi="Times New Roman"/>
          <w:b/>
          <w:bCs/>
          <w:sz w:val="22"/>
          <w:szCs w:val="22"/>
          <w:u w:val="single"/>
        </w:rPr>
        <w:t>Biblioteka Taśmowa – 1 szt.  minimalne wymagania:</w:t>
      </w:r>
    </w:p>
    <w:p w14:paraId="3C2D7217" w14:textId="77777777" w:rsidR="00C97756" w:rsidRPr="00EE55C9" w:rsidRDefault="00C97756" w:rsidP="00C97756">
      <w:pPr>
        <w:spacing w:before="0" w:after="0"/>
        <w:jc w:val="both"/>
        <w:rPr>
          <w:rFonts w:ascii="Times New Roman" w:hAnsi="Times New Roman"/>
          <w:sz w:val="22"/>
          <w:szCs w:val="22"/>
        </w:rPr>
      </w:pP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40"/>
        <w:gridCol w:w="4740"/>
      </w:tblGrid>
      <w:tr w:rsidR="00C97756" w:rsidRPr="00EE55C9" w14:paraId="26FB375A" w14:textId="77777777" w:rsidTr="008660A9">
        <w:trPr>
          <w:trHeight w:val="88"/>
        </w:trPr>
        <w:tc>
          <w:tcPr>
            <w:tcW w:w="474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67EB140" w14:textId="77777777" w:rsidR="00C97756" w:rsidRPr="00EE55C9" w:rsidRDefault="00C97756" w:rsidP="00C97756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55C9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Obudowa </w:t>
            </w:r>
          </w:p>
        </w:tc>
        <w:tc>
          <w:tcPr>
            <w:tcW w:w="47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562B65F" w14:textId="77777777" w:rsidR="00C97756" w:rsidRPr="00EE55C9" w:rsidRDefault="00C97756" w:rsidP="00C97756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55C9">
              <w:rPr>
                <w:rFonts w:ascii="Times New Roman" w:hAnsi="Times New Roman"/>
                <w:sz w:val="22"/>
                <w:szCs w:val="22"/>
              </w:rPr>
              <w:t xml:space="preserve">Biblioteka musi być wyposażona w zestaw umożliwiający jej zamontowanie w szafie </w:t>
            </w:r>
            <w:proofErr w:type="spellStart"/>
            <w:r w:rsidRPr="00EE55C9">
              <w:rPr>
                <w:rFonts w:ascii="Times New Roman" w:hAnsi="Times New Roman"/>
                <w:sz w:val="22"/>
                <w:szCs w:val="22"/>
              </w:rPr>
              <w:t>Rack</w:t>
            </w:r>
            <w:proofErr w:type="spellEnd"/>
            <w:r w:rsidRPr="00EE55C9">
              <w:rPr>
                <w:rFonts w:ascii="Times New Roman" w:hAnsi="Times New Roman"/>
                <w:sz w:val="22"/>
                <w:szCs w:val="22"/>
              </w:rPr>
              <w:t xml:space="preserve"> 19”. </w:t>
            </w:r>
          </w:p>
        </w:tc>
      </w:tr>
      <w:tr w:rsidR="00C97756" w:rsidRPr="00EE55C9" w14:paraId="632643B6" w14:textId="77777777" w:rsidTr="008660A9">
        <w:trPr>
          <w:trHeight w:val="314"/>
        </w:trPr>
        <w:tc>
          <w:tcPr>
            <w:tcW w:w="474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0E872D33" w14:textId="77777777" w:rsidR="00C97756" w:rsidRPr="00EE55C9" w:rsidRDefault="00C97756" w:rsidP="00C97756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55C9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Napędy i obsługiwane nośniki </w:t>
            </w:r>
          </w:p>
        </w:tc>
        <w:tc>
          <w:tcPr>
            <w:tcW w:w="47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2DDA529" w14:textId="77777777" w:rsidR="00C97756" w:rsidRPr="00EE55C9" w:rsidRDefault="00C97756" w:rsidP="00C97756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3C161978" w14:textId="77777777" w:rsidR="00C97756" w:rsidRPr="00EE55C9" w:rsidRDefault="00C97756" w:rsidP="00C97756">
            <w:pPr>
              <w:numPr>
                <w:ilvl w:val="0"/>
                <w:numId w:val="19"/>
              </w:numPr>
              <w:spacing w:before="0" w:after="0" w:line="259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55C9">
              <w:rPr>
                <w:rFonts w:ascii="Times New Roman" w:hAnsi="Times New Roman"/>
                <w:sz w:val="22"/>
                <w:szCs w:val="22"/>
              </w:rPr>
              <w:t xml:space="preserve">Biblioteka musi być wyposażona minimum jeden napęd taśmowy w technologii LTO9. </w:t>
            </w:r>
          </w:p>
          <w:p w14:paraId="36DBE8EF" w14:textId="77777777" w:rsidR="00C97756" w:rsidRPr="00EE55C9" w:rsidRDefault="00C97756" w:rsidP="00C97756">
            <w:pPr>
              <w:numPr>
                <w:ilvl w:val="0"/>
                <w:numId w:val="19"/>
              </w:numPr>
              <w:spacing w:before="0" w:after="0" w:line="259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55C9">
              <w:rPr>
                <w:rFonts w:ascii="Times New Roman" w:hAnsi="Times New Roman"/>
                <w:sz w:val="22"/>
                <w:szCs w:val="22"/>
              </w:rPr>
              <w:t xml:space="preserve">Minimalna pojemność taśmy bez kompresji 18TB. </w:t>
            </w:r>
          </w:p>
          <w:p w14:paraId="2D83F896" w14:textId="77777777" w:rsidR="00C97756" w:rsidRPr="00EE55C9" w:rsidRDefault="00C97756" w:rsidP="00C97756">
            <w:pPr>
              <w:numPr>
                <w:ilvl w:val="0"/>
                <w:numId w:val="19"/>
              </w:numPr>
              <w:spacing w:before="0" w:after="0" w:line="259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55C9">
              <w:rPr>
                <w:rFonts w:ascii="Times New Roman" w:hAnsi="Times New Roman"/>
                <w:sz w:val="22"/>
                <w:szCs w:val="22"/>
              </w:rPr>
              <w:t xml:space="preserve">Urządzenie musi posiadać interfejs SAS o prędkości minimum 12Gb/s. </w:t>
            </w:r>
          </w:p>
          <w:p w14:paraId="3AE44B37" w14:textId="77777777" w:rsidR="00C97756" w:rsidRPr="00EE55C9" w:rsidRDefault="00C97756" w:rsidP="00C97756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7756" w:rsidRPr="00EE55C9" w14:paraId="57D319FF" w14:textId="77777777" w:rsidTr="008660A9">
        <w:trPr>
          <w:trHeight w:val="193"/>
        </w:trPr>
        <w:tc>
          <w:tcPr>
            <w:tcW w:w="474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E0088F0" w14:textId="77777777" w:rsidR="00C97756" w:rsidRPr="00EE55C9" w:rsidRDefault="00C97756" w:rsidP="00C97756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55C9">
              <w:rPr>
                <w:rFonts w:ascii="Times New Roman" w:hAnsi="Times New Roman"/>
                <w:b/>
                <w:bCs/>
                <w:sz w:val="22"/>
                <w:szCs w:val="22"/>
              </w:rPr>
              <w:t>Kieszenie na nośniki (</w:t>
            </w:r>
            <w:proofErr w:type="spellStart"/>
            <w:r w:rsidRPr="00EE55C9">
              <w:rPr>
                <w:rFonts w:ascii="Times New Roman" w:hAnsi="Times New Roman"/>
                <w:b/>
                <w:bCs/>
                <w:sz w:val="22"/>
                <w:szCs w:val="22"/>
              </w:rPr>
              <w:t>sloty</w:t>
            </w:r>
            <w:proofErr w:type="spellEnd"/>
            <w:r w:rsidRPr="00EE55C9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) </w:t>
            </w:r>
          </w:p>
        </w:tc>
        <w:tc>
          <w:tcPr>
            <w:tcW w:w="47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59247A4" w14:textId="77777777" w:rsidR="00C97756" w:rsidRPr="00EE55C9" w:rsidRDefault="00C97756" w:rsidP="00C97756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55C9">
              <w:rPr>
                <w:rFonts w:ascii="Times New Roman" w:hAnsi="Times New Roman"/>
                <w:sz w:val="22"/>
                <w:szCs w:val="22"/>
              </w:rPr>
              <w:t xml:space="preserve">Biblioteka musi mieć minimum 8 kieszeni na nośniki, jeśli ich obsługa wymaga dodatkowych licencji wymagane jest dostarczenie takiej licencji. </w:t>
            </w:r>
          </w:p>
        </w:tc>
      </w:tr>
      <w:tr w:rsidR="00C97756" w:rsidRPr="00EE55C9" w14:paraId="3DF8BBFC" w14:textId="77777777" w:rsidTr="008660A9">
        <w:trPr>
          <w:trHeight w:val="213"/>
        </w:trPr>
        <w:tc>
          <w:tcPr>
            <w:tcW w:w="4740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5899270C" w14:textId="77777777" w:rsidR="00C97756" w:rsidRPr="00EE55C9" w:rsidRDefault="00C97756" w:rsidP="00C97756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55C9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Zarządzanie </w:t>
            </w:r>
          </w:p>
        </w:tc>
        <w:tc>
          <w:tcPr>
            <w:tcW w:w="4740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67BE848" w14:textId="77777777" w:rsidR="00C97756" w:rsidRPr="00EE55C9" w:rsidRDefault="00C97756" w:rsidP="00C97756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5A8ABB5E" w14:textId="77777777" w:rsidR="00C97756" w:rsidRPr="00EE55C9" w:rsidRDefault="00C97756" w:rsidP="00C97756">
            <w:pPr>
              <w:numPr>
                <w:ilvl w:val="0"/>
                <w:numId w:val="20"/>
              </w:numPr>
              <w:spacing w:before="0" w:after="0" w:line="259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55C9">
              <w:rPr>
                <w:rFonts w:ascii="Times New Roman" w:hAnsi="Times New Roman"/>
                <w:sz w:val="22"/>
                <w:szCs w:val="22"/>
              </w:rPr>
              <w:t xml:space="preserve">Biblioteka musi być wyposażona w moduł zdalnego zarządzania. </w:t>
            </w:r>
          </w:p>
          <w:p w14:paraId="1742DB3E" w14:textId="77777777" w:rsidR="00C97756" w:rsidRPr="00EE55C9" w:rsidRDefault="00C97756" w:rsidP="00C97756">
            <w:pPr>
              <w:numPr>
                <w:ilvl w:val="0"/>
                <w:numId w:val="20"/>
              </w:numPr>
              <w:spacing w:before="0" w:after="0" w:line="259" w:lineRule="auto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E55C9">
              <w:rPr>
                <w:rFonts w:ascii="Times New Roman" w:hAnsi="Times New Roman"/>
                <w:sz w:val="22"/>
                <w:szCs w:val="22"/>
              </w:rPr>
              <w:t xml:space="preserve">Biblioteka musi udostępniać funkcję monitorowania napędów. </w:t>
            </w:r>
          </w:p>
          <w:p w14:paraId="7AE1A80C" w14:textId="77777777" w:rsidR="00C97756" w:rsidRPr="00EE55C9" w:rsidRDefault="00C97756" w:rsidP="00C97756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7756" w:rsidRPr="00EE55C9" w14:paraId="464D9C60" w14:textId="77777777" w:rsidTr="008660A9">
        <w:trPr>
          <w:trHeight w:val="213"/>
        </w:trPr>
        <w:tc>
          <w:tcPr>
            <w:tcW w:w="474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A50947B" w14:textId="77777777" w:rsidR="00C97756" w:rsidRPr="00EE55C9" w:rsidRDefault="00C97756" w:rsidP="00C97756">
            <w:pPr>
              <w:spacing w:before="0" w:after="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E55C9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Pozostałe wymagania </w:t>
            </w:r>
          </w:p>
        </w:tc>
        <w:tc>
          <w:tcPr>
            <w:tcW w:w="474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05CF5AB" w14:textId="77777777" w:rsidR="00C97756" w:rsidRPr="00EE55C9" w:rsidRDefault="00C97756" w:rsidP="00C97756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194989CC" w14:textId="77777777" w:rsidR="00C97756" w:rsidRPr="00EE55C9" w:rsidRDefault="00C97756" w:rsidP="00C97756">
            <w:pPr>
              <w:pStyle w:val="Default"/>
              <w:numPr>
                <w:ilvl w:val="0"/>
                <w:numId w:val="21"/>
              </w:numPr>
              <w:jc w:val="both"/>
              <w:rPr>
                <w:color w:val="auto"/>
                <w:kern w:val="2"/>
                <w:sz w:val="22"/>
                <w:szCs w:val="22"/>
              </w:rPr>
            </w:pPr>
            <w:r w:rsidRPr="00EE55C9">
              <w:rPr>
                <w:color w:val="auto"/>
                <w:kern w:val="2"/>
                <w:sz w:val="22"/>
                <w:szCs w:val="22"/>
              </w:rPr>
              <w:t xml:space="preserve">Biblioteka musi posiadać czytnik kodów kreskowych do identyfikacji taśm. </w:t>
            </w:r>
          </w:p>
          <w:p w14:paraId="3538276F" w14:textId="77777777" w:rsidR="00C97756" w:rsidRPr="00EE55C9" w:rsidRDefault="00C97756" w:rsidP="00C97756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7756" w:rsidRPr="00EE55C9" w14:paraId="36606542" w14:textId="77777777" w:rsidTr="008660A9">
        <w:trPr>
          <w:trHeight w:val="213"/>
        </w:trPr>
        <w:tc>
          <w:tcPr>
            <w:tcW w:w="474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A74DA8E" w14:textId="77777777" w:rsidR="00C97756" w:rsidRPr="00EE55C9" w:rsidRDefault="00C97756" w:rsidP="00C97756">
            <w:pPr>
              <w:spacing w:before="0" w:after="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E55C9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Serwis </w:t>
            </w:r>
          </w:p>
        </w:tc>
        <w:tc>
          <w:tcPr>
            <w:tcW w:w="474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5FF13E98" w14:textId="77777777" w:rsidR="00C97756" w:rsidRPr="00EE55C9" w:rsidRDefault="00C97756" w:rsidP="00C97756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  <w:p w14:paraId="44FB3239" w14:textId="77777777" w:rsidR="00C97756" w:rsidRPr="00EE55C9" w:rsidRDefault="00C97756" w:rsidP="00C97756">
            <w:pPr>
              <w:pStyle w:val="Default"/>
              <w:numPr>
                <w:ilvl w:val="0"/>
                <w:numId w:val="22"/>
              </w:numPr>
              <w:jc w:val="both"/>
              <w:rPr>
                <w:color w:val="auto"/>
                <w:kern w:val="2"/>
                <w:sz w:val="22"/>
                <w:szCs w:val="22"/>
              </w:rPr>
            </w:pPr>
            <w:r w:rsidRPr="00EE55C9">
              <w:rPr>
                <w:color w:val="auto"/>
                <w:kern w:val="2"/>
                <w:sz w:val="22"/>
                <w:szCs w:val="22"/>
              </w:rPr>
              <w:t xml:space="preserve">Urządzenie musi być objęte minimum 2-letnią gwarancją realizowaną przez producenta lub autoryzowanego partnera </w:t>
            </w:r>
            <w:proofErr w:type="gramStart"/>
            <w:r w:rsidRPr="00EE55C9">
              <w:rPr>
                <w:color w:val="auto"/>
                <w:kern w:val="2"/>
                <w:sz w:val="22"/>
                <w:szCs w:val="22"/>
              </w:rPr>
              <w:t>serwisowego..</w:t>
            </w:r>
            <w:proofErr w:type="gramEnd"/>
            <w:r w:rsidRPr="00EE55C9">
              <w:rPr>
                <w:color w:val="auto"/>
                <w:kern w:val="2"/>
                <w:sz w:val="22"/>
                <w:szCs w:val="22"/>
              </w:rPr>
              <w:t xml:space="preserve"> </w:t>
            </w:r>
          </w:p>
          <w:p w14:paraId="73C288D9" w14:textId="77777777" w:rsidR="00C97756" w:rsidRPr="00EE55C9" w:rsidRDefault="00C97756" w:rsidP="00C97756">
            <w:pPr>
              <w:pStyle w:val="Default"/>
              <w:numPr>
                <w:ilvl w:val="0"/>
                <w:numId w:val="22"/>
              </w:numPr>
              <w:jc w:val="both"/>
              <w:rPr>
                <w:color w:val="auto"/>
                <w:kern w:val="2"/>
                <w:sz w:val="22"/>
                <w:szCs w:val="22"/>
              </w:rPr>
            </w:pPr>
            <w:r w:rsidRPr="00EE55C9">
              <w:rPr>
                <w:color w:val="auto"/>
                <w:kern w:val="2"/>
                <w:sz w:val="22"/>
                <w:szCs w:val="22"/>
              </w:rPr>
              <w:t xml:space="preserve">W okresie serwisu zamawiający musi mieć dostęp do poprawek i nowych wersji oprogramowania i sterowników oferowanej biblioteki. </w:t>
            </w:r>
          </w:p>
          <w:p w14:paraId="0908EC5D" w14:textId="77777777" w:rsidR="00C97756" w:rsidRPr="00EE55C9" w:rsidRDefault="00C97756" w:rsidP="00C97756">
            <w:pPr>
              <w:spacing w:before="0" w:after="0"/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C97756" w:rsidRPr="00EE55C9" w14:paraId="5D08428C" w14:textId="77777777" w:rsidTr="008660A9">
        <w:trPr>
          <w:trHeight w:val="213"/>
        </w:trPr>
        <w:tc>
          <w:tcPr>
            <w:tcW w:w="474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2B1954AB" w14:textId="77777777" w:rsidR="00C97756" w:rsidRPr="00EE55C9" w:rsidRDefault="00C97756" w:rsidP="00C97756">
            <w:pPr>
              <w:spacing w:before="0" w:after="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EE55C9">
              <w:rPr>
                <w:rFonts w:ascii="Times New Roman" w:hAnsi="Times New Roman"/>
                <w:b/>
                <w:bCs/>
                <w:sz w:val="22"/>
                <w:szCs w:val="22"/>
              </w:rPr>
              <w:lastRenderedPageBreak/>
              <w:t>Taśmy LTO</w:t>
            </w:r>
          </w:p>
        </w:tc>
        <w:tc>
          <w:tcPr>
            <w:tcW w:w="474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14:paraId="05D1E6BC" w14:textId="77777777" w:rsidR="00C97756" w:rsidRPr="00EE55C9" w:rsidRDefault="00C97756" w:rsidP="00C97756">
            <w:pPr>
              <w:pStyle w:val="Default"/>
              <w:rPr>
                <w:sz w:val="22"/>
                <w:szCs w:val="22"/>
              </w:rPr>
            </w:pPr>
            <w:r w:rsidRPr="00EE55C9">
              <w:rPr>
                <w:sz w:val="22"/>
                <w:szCs w:val="22"/>
              </w:rPr>
              <w:t>10 szt. nośników danych kompatybilnych z urządzeniem:</w:t>
            </w:r>
            <w:r w:rsidRPr="00EE55C9">
              <w:rPr>
                <w:sz w:val="22"/>
                <w:szCs w:val="22"/>
              </w:rPr>
              <w:br/>
              <w:t>Rodzaj: LTO-9</w:t>
            </w:r>
            <w:r w:rsidRPr="00EE55C9">
              <w:rPr>
                <w:sz w:val="22"/>
                <w:szCs w:val="22"/>
              </w:rPr>
              <w:br/>
            </w:r>
            <w:proofErr w:type="gramStart"/>
            <w:r w:rsidRPr="00EE55C9">
              <w:rPr>
                <w:sz w:val="22"/>
                <w:szCs w:val="22"/>
              </w:rPr>
              <w:t>pojemność :</w:t>
            </w:r>
            <w:proofErr w:type="gramEnd"/>
            <w:r w:rsidRPr="00EE55C9">
              <w:rPr>
                <w:sz w:val="22"/>
                <w:szCs w:val="22"/>
              </w:rPr>
              <w:t xml:space="preserve"> 18 TB</w:t>
            </w:r>
          </w:p>
          <w:p w14:paraId="608D8021" w14:textId="77777777" w:rsidR="00C97756" w:rsidRPr="00EE55C9" w:rsidRDefault="00C97756" w:rsidP="00C97756">
            <w:pPr>
              <w:pStyle w:val="Default"/>
              <w:rPr>
                <w:sz w:val="22"/>
                <w:szCs w:val="22"/>
              </w:rPr>
            </w:pPr>
            <w:r w:rsidRPr="00EE55C9">
              <w:rPr>
                <w:sz w:val="22"/>
                <w:szCs w:val="22"/>
              </w:rPr>
              <w:t>Pojemność po kompresji: 45</w:t>
            </w:r>
            <w:r w:rsidRPr="00EE55C9">
              <w:rPr>
                <w:sz w:val="22"/>
                <w:szCs w:val="22"/>
              </w:rPr>
              <w:br/>
            </w:r>
          </w:p>
          <w:p w14:paraId="2F7956EB" w14:textId="77777777" w:rsidR="00C97756" w:rsidRPr="00EE55C9" w:rsidRDefault="00C97756" w:rsidP="00C97756">
            <w:pPr>
              <w:spacing w:before="0" w:after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14:paraId="20EDD226" w14:textId="77777777" w:rsidR="00C97756" w:rsidRPr="00EE55C9" w:rsidRDefault="00C97756" w:rsidP="00C97756">
      <w:pPr>
        <w:pStyle w:val="Akapitzlist"/>
        <w:suppressAutoHyphens/>
        <w:spacing w:before="0" w:after="0" w:line="276" w:lineRule="auto"/>
        <w:ind w:left="284"/>
        <w:jc w:val="both"/>
        <w:rPr>
          <w:rFonts w:ascii="Times New Roman" w:hAnsi="Times New Roman"/>
          <w:b/>
          <w:bCs/>
          <w:color w:val="000000" w:themeColor="text1"/>
          <w:sz w:val="22"/>
          <w:szCs w:val="22"/>
        </w:rPr>
      </w:pPr>
    </w:p>
    <w:p w14:paraId="36E537CA" w14:textId="1169B766" w:rsidR="00A834F4" w:rsidRPr="00EE55C9" w:rsidRDefault="00A834F4" w:rsidP="00C97756">
      <w:pPr>
        <w:pStyle w:val="Akapitzlist"/>
        <w:spacing w:before="0" w:after="0"/>
        <w:rPr>
          <w:rFonts w:ascii="Times New Roman" w:hAnsi="Times New Roman"/>
          <w:sz w:val="22"/>
          <w:szCs w:val="22"/>
          <w:lang w:eastAsia="pl-PL"/>
        </w:rPr>
      </w:pPr>
    </w:p>
    <w:sectPr w:rsidR="00A834F4" w:rsidRPr="00EE55C9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02C12" w14:textId="77777777" w:rsidR="008957B7" w:rsidRDefault="008957B7">
      <w:r>
        <w:separator/>
      </w:r>
    </w:p>
  </w:endnote>
  <w:endnote w:type="continuationSeparator" w:id="0">
    <w:p w14:paraId="316DD386" w14:textId="77777777" w:rsidR="008957B7" w:rsidRDefault="00895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29340701" w:rsidR="00C24F21" w:rsidRPr="00C24F21" w:rsidRDefault="00FF5508" w:rsidP="00C24F21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8752" behindDoc="0" locked="0" layoutInCell="1" allowOverlap="1" wp14:anchorId="32EF1882" wp14:editId="2AA2CC8A">
          <wp:simplePos x="0" y="0"/>
          <wp:positionH relativeFrom="column">
            <wp:posOffset>2699385</wp:posOffset>
          </wp:positionH>
          <wp:positionV relativeFrom="paragraph">
            <wp:posOffset>206375</wp:posOffset>
          </wp:positionV>
          <wp:extent cx="3705225" cy="323215"/>
          <wp:effectExtent l="0" t="0" r="0" b="635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Theme="minorHAnsi" w:hAnsiTheme="minorHAnsi" w:cstheme="minorHAnsi"/>
        <w:noProof/>
        <w:sz w:val="10"/>
        <w:szCs w:val="10"/>
      </w:rPr>
      <w:pict w14:anchorId="05390C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7984156" o:spid="_x0000_s1029" type="#_x0000_t75" alt="" style="position:absolute;margin-left:-61.25pt;margin-top:490.05pt;width:599.6pt;height:262.45pt;z-index:-251656704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="00C24F21"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0E3BE3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5680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C97756">
      <w:rPr>
        <w:rFonts w:asciiTheme="minorHAnsi" w:hAnsiTheme="minorHAnsi" w:cstheme="minorHAnsi"/>
        <w:noProof/>
        <w:sz w:val="10"/>
        <w:szCs w:val="10"/>
      </w:rPr>
      <w:drawing>
        <wp:anchor distT="0" distB="0" distL="114300" distR="114300" simplePos="0" relativeHeight="251656704" behindDoc="1" locked="0" layoutInCell="0" allowOverlap="1" wp14:anchorId="323B3CE1" wp14:editId="1D84E46D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7354102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94581" w14:textId="77777777" w:rsidR="008957B7" w:rsidRDefault="008957B7">
      <w:r>
        <w:separator/>
      </w:r>
    </w:p>
  </w:footnote>
  <w:footnote w:type="continuationSeparator" w:id="0">
    <w:p w14:paraId="7FC7CE3F" w14:textId="77777777" w:rsidR="008957B7" w:rsidRDefault="008957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9DBD3" w14:textId="6302B2C8" w:rsidR="00AF3CB9" w:rsidRDefault="00000000" w:rsidP="00482EA3">
    <w:pPr>
      <w:pStyle w:val="Nagwek"/>
      <w:jc w:val="right"/>
    </w:pPr>
    <w:sdt>
      <w:sdtPr>
        <w:id w:val="-1306005832"/>
        <w:docPartObj>
          <w:docPartGallery w:val="Page Numbers (Top of Page)"/>
          <w:docPartUnique/>
        </w:docPartObj>
      </w:sdtPr>
      <w:sdtContent>
        <w:r w:rsidR="00C24F21">
          <w:rPr>
            <w:noProof/>
          </w:rPr>
          <w:drawing>
            <wp:anchor distT="0" distB="0" distL="114300" distR="114300" simplePos="0" relativeHeight="251657728" behindDoc="0" locked="0" layoutInCell="1" allowOverlap="1" wp14:anchorId="2C7A66B0" wp14:editId="15B47DE2">
              <wp:simplePos x="0" y="0"/>
              <wp:positionH relativeFrom="page">
                <wp:align>left</wp:align>
              </wp:positionH>
              <wp:positionV relativeFrom="paragraph">
                <wp:posOffset>-10160</wp:posOffset>
              </wp:positionV>
              <wp:extent cx="2314575" cy="961390"/>
              <wp:effectExtent l="0" t="0" r="9525" b="0"/>
              <wp:wrapSquare wrapText="bothSides"/>
              <wp:docPr id="910474701" name="Grafika 1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57323885" name="Grafika 1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pic:cNvPr>
                      <pic:cNvPicPr/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314575" cy="96139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sdtContent>
    </w:sdt>
    <w:r w:rsidR="003031F8">
      <w:t>Załącznik nr 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7DEA7B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B21C41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7FFD86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87CF3"/>
    <w:multiLevelType w:val="hybridMultilevel"/>
    <w:tmpl w:val="914211F8"/>
    <w:lvl w:ilvl="0" w:tplc="CF62774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7AF1B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13"/>
  </w:num>
  <w:num w:numId="4" w16cid:durableId="907615826">
    <w:abstractNumId w:val="10"/>
  </w:num>
  <w:num w:numId="5" w16cid:durableId="397635744">
    <w:abstractNumId w:val="20"/>
  </w:num>
  <w:num w:numId="6" w16cid:durableId="1648318210">
    <w:abstractNumId w:val="17"/>
  </w:num>
  <w:num w:numId="7" w16cid:durableId="331833269">
    <w:abstractNumId w:val="19"/>
  </w:num>
  <w:num w:numId="8" w16cid:durableId="162362834">
    <w:abstractNumId w:val="3"/>
  </w:num>
  <w:num w:numId="9" w16cid:durableId="493955748">
    <w:abstractNumId w:val="4"/>
  </w:num>
  <w:num w:numId="10" w16cid:durableId="1613436086">
    <w:abstractNumId w:val="16"/>
  </w:num>
  <w:num w:numId="11" w16cid:durableId="7873616">
    <w:abstractNumId w:val="12"/>
  </w:num>
  <w:num w:numId="12" w16cid:durableId="1726102718">
    <w:abstractNumId w:val="21"/>
  </w:num>
  <w:num w:numId="13" w16cid:durableId="333580693">
    <w:abstractNumId w:val="15"/>
  </w:num>
  <w:num w:numId="14" w16cid:durableId="1335911795">
    <w:abstractNumId w:val="11"/>
  </w:num>
  <w:num w:numId="15" w16cid:durableId="736320308">
    <w:abstractNumId w:val="8"/>
  </w:num>
  <w:num w:numId="16" w16cid:durableId="1160580737">
    <w:abstractNumId w:val="7"/>
  </w:num>
  <w:num w:numId="17" w16cid:durableId="1300263558">
    <w:abstractNumId w:val="14"/>
  </w:num>
  <w:num w:numId="18" w16cid:durableId="620381259">
    <w:abstractNumId w:val="9"/>
  </w:num>
  <w:num w:numId="19" w16cid:durableId="1962149566">
    <w:abstractNumId w:val="0"/>
  </w:num>
  <w:num w:numId="20" w16cid:durableId="1631977704">
    <w:abstractNumId w:val="18"/>
  </w:num>
  <w:num w:numId="21" w16cid:durableId="992027254">
    <w:abstractNumId w:val="2"/>
  </w:num>
  <w:num w:numId="22" w16cid:durableId="9589512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D0C48"/>
    <w:rsid w:val="000E21EF"/>
    <w:rsid w:val="0010162A"/>
    <w:rsid w:val="001561C5"/>
    <w:rsid w:val="00183FA0"/>
    <w:rsid w:val="001910B9"/>
    <w:rsid w:val="00214307"/>
    <w:rsid w:val="002571F6"/>
    <w:rsid w:val="002B08FC"/>
    <w:rsid w:val="002D66BB"/>
    <w:rsid w:val="002E6BDD"/>
    <w:rsid w:val="002F66E8"/>
    <w:rsid w:val="003031F8"/>
    <w:rsid w:val="00310274"/>
    <w:rsid w:val="003134FE"/>
    <w:rsid w:val="003816DA"/>
    <w:rsid w:val="00385FFB"/>
    <w:rsid w:val="00412555"/>
    <w:rsid w:val="00482EA3"/>
    <w:rsid w:val="004844AD"/>
    <w:rsid w:val="004E62F6"/>
    <w:rsid w:val="005115C2"/>
    <w:rsid w:val="005A056A"/>
    <w:rsid w:val="005B7917"/>
    <w:rsid w:val="005D58BA"/>
    <w:rsid w:val="005E22E2"/>
    <w:rsid w:val="006760F1"/>
    <w:rsid w:val="006D19B4"/>
    <w:rsid w:val="006E040C"/>
    <w:rsid w:val="007021C9"/>
    <w:rsid w:val="007077F2"/>
    <w:rsid w:val="00735813"/>
    <w:rsid w:val="00760990"/>
    <w:rsid w:val="00761B48"/>
    <w:rsid w:val="00780D75"/>
    <w:rsid w:val="00863D3F"/>
    <w:rsid w:val="0088784C"/>
    <w:rsid w:val="008957B7"/>
    <w:rsid w:val="008C4DE6"/>
    <w:rsid w:val="00900F67"/>
    <w:rsid w:val="009A5797"/>
    <w:rsid w:val="009B7B29"/>
    <w:rsid w:val="00A25198"/>
    <w:rsid w:val="00A34049"/>
    <w:rsid w:val="00A42564"/>
    <w:rsid w:val="00A834F4"/>
    <w:rsid w:val="00A8394D"/>
    <w:rsid w:val="00A97B93"/>
    <w:rsid w:val="00AD274B"/>
    <w:rsid w:val="00AF3CB9"/>
    <w:rsid w:val="00AF4EB4"/>
    <w:rsid w:val="00B322CD"/>
    <w:rsid w:val="00B371AE"/>
    <w:rsid w:val="00B546E9"/>
    <w:rsid w:val="00B619ED"/>
    <w:rsid w:val="00B82EF6"/>
    <w:rsid w:val="00BC79CC"/>
    <w:rsid w:val="00C0481C"/>
    <w:rsid w:val="00C06AC7"/>
    <w:rsid w:val="00C0733F"/>
    <w:rsid w:val="00C14A13"/>
    <w:rsid w:val="00C24F21"/>
    <w:rsid w:val="00C3461A"/>
    <w:rsid w:val="00C965EE"/>
    <w:rsid w:val="00C97756"/>
    <w:rsid w:val="00CA4211"/>
    <w:rsid w:val="00CB53C1"/>
    <w:rsid w:val="00CC431D"/>
    <w:rsid w:val="00CF1AB9"/>
    <w:rsid w:val="00DC0C56"/>
    <w:rsid w:val="00DD5590"/>
    <w:rsid w:val="00E1663C"/>
    <w:rsid w:val="00EA5546"/>
    <w:rsid w:val="00EB7791"/>
    <w:rsid w:val="00EE312E"/>
    <w:rsid w:val="00EE55C9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customStyle="1" w:styleId="Default">
    <w:name w:val="Default"/>
    <w:rsid w:val="00C97756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971</Words>
  <Characters>5830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6788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Elżbieta Trzcińska</cp:lastModifiedBy>
  <cp:revision>3</cp:revision>
  <cp:lastPrinted>2018-03-26T09:55:00Z</cp:lastPrinted>
  <dcterms:created xsi:type="dcterms:W3CDTF">2026-04-27T10:03:00Z</dcterms:created>
  <dcterms:modified xsi:type="dcterms:W3CDTF">2026-04-27T10:20:00Z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